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Specialist AI: forecasting, graphs and active learning</w:t>
      </w:r>
    </w:p>
    <w:p>
      <w:pPr>
        <w:spacing w:after="140"/>
      </w:pPr>
      <w:r>
        <w:t xml:space="preserve">Advanced · Specialist · Free course workbook</w:t>
      </w:r>
    </w:p>
    <w:p>
      <w:pPr>
        <w:spacing w:after="140"/>
      </w:pPr>
      <w:r>
        <w:t xml:space="preserve">AI Tools Academy · 21 October 2026</w:t>
      </w:r>
    </w:p>
    <w:p>
      <w:pPr>
        <w:spacing w:after="140"/>
      </w:pPr>
      <w:r>
        <w:t xml:space="preserve">Explore niche AI patterns through forecasting, anomaly detection, graphs, active learning and scientific evidence.</w:t>
      </w:r>
    </w:p>
    <w:p>
      <w:pPr>
        <w:spacing w:after="140"/>
      </w:pPr>
      <w:r>
        <w:t xml:space="preserve">Before you start: Complete Data and measurement; no specialist software required for the exercises.</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Time-series forecasting and temporal leakage</w:t>
      </w:r>
    </w:p>
    <w:p>
      <w:pPr>
        <w:spacing w:after="140"/>
      </w:pPr>
      <w:r>
        <w:t xml:space="preserve"/>
      </w:r>
    </w:p>
    <w:p>
      <w:pPr>
        <w:spacing w:after="140"/>
      </w:pPr>
      <w:r>
        <w:t xml:space="preserve">Learning outcome: Evaluate forecasts using only information available at the forecast date.</w:t>
      </w:r>
    </w:p>
    <w:p>
      <w:pPr>
        <w:spacing w:after="140"/>
      </w:pPr>
      <w:r>
        <w:t xml:space="preserve"/>
      </w:r>
    </w:p>
    <w:p>
      <w:pPr>
        <w:spacing w:after="140"/>
      </w:pPr>
      <w:r>
        <w:t xml:space="preserve">Forecasting predicts future values from information available at a defined time. Randomly mixing past and future observations into training and test sets can create an unrealistic evaluation. Seasonality, trend and changing operating conditions also affect what a forecast can learn.</w:t>
      </w:r>
    </w:p>
    <w:p>
      <w:pPr>
        <w:spacing w:after="140"/>
      </w:pPr>
      <w:r>
        <w:t xml:space="preserve"/>
      </w:r>
    </w:p>
    <w:p>
      <w:pPr>
        <w:spacing w:after="140"/>
      </w:pPr>
      <w:r>
        <w:t xml:space="preserve">Begin with a simple baseline such as repeating the last observed value or the comparable previous seasonal value. Evaluate on later periods and use multiple forecast origins where appropriate. Keep the horizon explicit: next day and next quarter are different tasks. Do not treat an explanatory narrative from a language model as a validated forecasting method.</w:t>
      </w:r>
    </w:p>
    <w:p>
      <w:pPr>
        <w:spacing w:after="140"/>
      </w:pPr>
      <w:r>
        <w:t xml:space="preserve"/>
      </w:r>
    </w:p>
    <w:p>
      <w:pPr>
        <w:spacing w:after="140"/>
      </w:pPr>
      <w:r>
        <w:t xml:space="preserve">Worked example</w:t>
      </w:r>
    </w:p>
    <w:p>
      <w:pPr>
        <w:spacing w:after="140"/>
      </w:pPr>
      <w:r>
        <w:t xml:space="preserve"/>
      </w:r>
    </w:p>
    <w:p>
      <w:pPr>
        <w:spacing w:after="140"/>
      </w:pPr>
      <w:r>
        <w:t xml:space="preserve">A fictional café predicts tomorrow's demand. Its dataset includes tomorrow's actual staffing adjustment, decided after the morning rush begins. That field would not be available when the forecast is needed. A valid test removes it and compares the model with a simple same-weekday baseline using earlier weeks only.</w:t>
      </w:r>
    </w:p>
    <w:p>
      <w:pPr>
        <w:spacing w:after="140"/>
      </w:pPr>
      <w:r>
        <w:t xml:space="preserve"/>
      </w:r>
    </w:p>
    <w:p>
      <w:pPr>
        <w:spacing w:after="140"/>
      </w:pPr>
      <w:r>
        <w:t xml:space="preserve">Try it yourself</w:t>
      </w:r>
    </w:p>
    <w:p>
      <w:pPr>
        <w:spacing w:after="140"/>
      </w:pPr>
      <w:r>
        <w:t xml:space="preserve"/>
      </w:r>
    </w:p>
    <w:p>
      <w:pPr>
        <w:spacing w:after="140"/>
      </w:pPr>
      <w:r>
        <w:t xml:space="preserve">Design a four-week evaluation timeline for a next-day forecast. Mark the information cut-off, forecast horizon and a baseline. Include a day with a special event.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special event can be an input only if its information was known before the cut-off. Report how the model handles unusual days separately from ordinary ones. A future observation must not leak into model preparation.</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information can a next-day forecast legitimately use?</w:t>
      </w:r>
    </w:p>
    <w:p>
      <w:pPr>
        <w:spacing w:after="140"/>
      </w:pPr>
      <w:r>
        <w:t xml:space="preserve"/>
      </w:r>
    </w:p>
    <w:p>
      <w:pPr>
        <w:spacing w:after="140"/>
      </w:pPr>
      <w:r>
        <w:t xml:space="preserve">1. Information available at the stated forecast cut-off</w:t>
      </w:r>
    </w:p>
    <w:p>
      <w:pPr>
        <w:spacing w:after="140"/>
      </w:pPr>
      <w:r>
        <w:t xml:space="preserve">2. Tomorrow’s realised demand</w:t>
      </w:r>
    </w:p>
    <w:p>
      <w:pPr>
        <w:spacing w:after="140"/>
      </w:pPr>
      <w:r>
        <w:t xml:space="preserve">3. A field populated after tomorrow’s service ends</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Information available at the stated forecast cut-off. The forecast must use information that exists at its cut-off. Realised demand and fields populated after service begins leak future information into the evaluation.</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(/downloads/course-packs/specialist-ai-patterns.docx)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model evaluation (https://scikit-learn.org/stable/modules/model_evaluation.html)</w:t>
      </w:r>
    </w:p>
    <w:p>
      <w:pPr>
        <w:spacing w:after="140"/>
      </w:pPr>
      <w:r>
        <w:t xml:space="preserve">- NIST: AI Risk Management Framework (https://www.nist.gov/itl/ai-risk-management-framework)</w:t>
      </w:r>
    </w:p>
    <w:p>
      <w:pPr>
        <w:spacing w:after="140"/>
      </w:pPr>
      <w:r>
        <w:t xml:space="preserve">- scikit-learn: time series splits (https://sklearn.org/stable/modules/generated/sklearn.model_selection.TimeSeriesSplit.html)</w:t>
      </w:r>
    </w:p>
    <w:p>
      <w:pPr>
        <w:spacing w:after="140"/>
      </w:pPr>
      <w:r>
        <w:t xml:space="preserve">- scikit-learn: novelty and outlier detection (https://scikit-learn.org/stable/modules/outlier_detection.html)</w:t>
      </w:r>
    </w:p>
    <w:p>
      <w:pPr>
        <w:spacing w:after="140"/>
      </w:pPr>
      <w:r>
        <w:t xml:space="preserve">- modAL: uncertainty sampling (https://modal-python.readthedocs.io/en/latest/content/query_strategies/uncertainty_sampling.html)</w:t>
      </w:r>
    </w:p>
    <w:p>
      <w:pPr>
        <w:spacing w:after="140"/>
      </w:pPr>
      <w:r>
        <w:t xml:space="preserve">- Neo4j: entity resolution (https://graphacademy.neo4j.com/courses/genai-graphrag-python/4-customisation/4-resolving-entities)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Anomaly detection and the alert burden</w:t>
      </w:r>
    </w:p>
    <w:p>
      <w:pPr>
        <w:spacing w:after="140"/>
      </w:pPr>
      <w:r>
        <w:t xml:space="preserve"/>
      </w:r>
    </w:p>
    <w:p>
      <w:pPr>
        <w:spacing w:after="140"/>
      </w:pPr>
      <w:r>
        <w:t xml:space="preserve">Learning outcome: Distinguish unusual behaviour from a confirmed problem.</w:t>
      </w:r>
    </w:p>
    <w:p>
      <w:pPr>
        <w:spacing w:after="140"/>
      </w:pPr>
      <w:r>
        <w:t xml:space="preserve"/>
      </w:r>
    </w:p>
    <w:p>
      <w:pPr>
        <w:spacing w:after="140"/>
      </w:pPr>
      <w:r>
        <w:t xml:space="preserve">An anomaly detector identifies observations that differ from a learned or defined pattern. Unusual does not mean harmful, and normal-looking does not mean safe. The detector's output needs interpretation in the setting where it is used.</w:t>
      </w:r>
    </w:p>
    <w:p>
      <w:pPr>
        <w:spacing w:after="140"/>
      </w:pPr>
      <w:r>
        <w:t xml:space="preserve"/>
      </w:r>
    </w:p>
    <w:p>
      <w:pPr>
        <w:spacing w:after="140"/>
      </w:pPr>
      <w:r>
        <w:t xml:space="preserve">Define the reference population and time period. A threshold controls the balance between missed events and review workload. Track whether alerts lead to meaningful findings, and investigate changes in the input distribution. If normal behaviour changes, an old baseline may generate many unhelpful alerts. Keep a feedback route so reviewers can record outcomes without silently relabelling every unfamiliar case as an error.</w:t>
      </w:r>
    </w:p>
    <w:p>
      <w:pPr>
        <w:spacing w:after="140"/>
      </w:pPr>
      <w:r>
        <w:t xml:space="preserve"/>
      </w:r>
    </w:p>
    <w:p>
      <w:pPr>
        <w:spacing w:after="140"/>
      </w:pPr>
      <w:r>
        <w:t xml:space="preserve">Worked example</w:t>
      </w:r>
    </w:p>
    <w:p>
      <w:pPr>
        <w:spacing w:after="140"/>
      </w:pPr>
      <w:r>
        <w:t xml:space="preserve"/>
      </w:r>
    </w:p>
    <w:p>
      <w:pPr>
        <w:spacing w:after="140"/>
      </w:pPr>
      <w:r>
        <w:t xml:space="preserve">A fictional building-energy monitor flags a weekend workshop because usage is higher than a normal Saturday. The increase is expected and authorised. Another day has a smaller but unexplained overnight load. The first alert is unusual without being a fault; the second needs investigation. Ranking only by raw size would miss that context.</w:t>
      </w:r>
    </w:p>
    <w:p>
      <w:pPr>
        <w:spacing w:after="140"/>
      </w:pPr>
      <w:r>
        <w:t xml:space="preserve"/>
      </w:r>
    </w:p>
    <w:p>
      <w:pPr>
        <w:spacing w:after="140"/>
      </w:pPr>
      <w:r>
        <w:t xml:space="preserve">Try it yourself</w:t>
      </w:r>
    </w:p>
    <w:p>
      <w:pPr>
        <w:spacing w:after="140"/>
      </w:pPr>
      <w:r>
        <w:t xml:space="preserve"/>
      </w:r>
    </w:p>
    <w:p>
      <w:pPr>
        <w:spacing w:after="140"/>
      </w:pPr>
      <w:r>
        <w:t xml:space="preserve">Create an alert-review form with expected event, observed value, comparison baseline, reviewer finding and next action. Fill it for both examples.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workshop record should say expected event rather than equipment failure. The overnight record should remain unexplained until checked. A detector can prioritise investigation without being granted authority to declare the cause.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does an anomaly score establish?</w:t>
      </w:r>
    </w:p>
    <w:p>
      <w:pPr>
        <w:spacing w:after="140"/>
      </w:pPr>
      <w:r>
        <w:t xml:space="preserve"/>
      </w:r>
    </w:p>
    <w:p>
      <w:pPr>
        <w:spacing w:after="140"/>
      </w:pPr>
      <w:r>
        <w:t xml:space="preserve">1. That the largest value is always the most important case</w:t>
      </w:r>
    </w:p>
    <w:p>
      <w:pPr>
        <w:spacing w:after="140"/>
      </w:pPr>
      <w:r>
        <w:t xml:space="preserve">2. Difference from a reference pattern, not a confirmed cause</w:t>
      </w:r>
    </w:p>
    <w:p>
      <w:pPr>
        <w:spacing w:after="140"/>
      </w:pPr>
      <w:r>
        <w:t xml:space="preserve">3. That fraud or failure has occurred</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Difference from a reference pattern, not a confirmed cause. An anomaly is a departure from a reference pattern. Context and investigation are needed to determine whether it represents a problem and what caused it.</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(/downloads/course-packs/specialist-ai-patterns.docx)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model evaluation (https://scikit-learn.org/stable/modules/model_evaluation.html)</w:t>
      </w:r>
    </w:p>
    <w:p>
      <w:pPr>
        <w:spacing w:after="140"/>
      </w:pPr>
      <w:r>
        <w:t xml:space="preserve">- NIST: AI Risk Management Framework (https://www.nist.gov/itl/ai-risk-management-framework)</w:t>
      </w:r>
    </w:p>
    <w:p>
      <w:pPr>
        <w:spacing w:after="140"/>
      </w:pPr>
      <w:r>
        <w:t xml:space="preserve">- scikit-learn: time series splits (https://sklearn.org/stable/modules/generated/sklearn.model_selection.TimeSeriesSplit.html)</w:t>
      </w:r>
    </w:p>
    <w:p>
      <w:pPr>
        <w:spacing w:after="140"/>
      </w:pPr>
      <w:r>
        <w:t xml:space="preserve">- scikit-learn: novelty and outlier detection (https://scikit-learn.org/stable/modules/outlier_detection.html)</w:t>
      </w:r>
    </w:p>
    <w:p>
      <w:pPr>
        <w:spacing w:after="140"/>
      </w:pPr>
      <w:r>
        <w:t xml:space="preserve">- modAL: uncertainty sampling (https://modal-python.readthedocs.io/en/latest/content/query_strategies/uncertainty_sampling.html)</w:t>
      </w:r>
    </w:p>
    <w:p>
      <w:pPr>
        <w:spacing w:after="140"/>
      </w:pPr>
      <w:r>
        <w:t xml:space="preserve">- Neo4j: entity resolution (https://graphacademy.neo4j.com/courses/genai-graphrag-python/4-customisation/4-resolving-entities)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Knowledge graphs and entity resolution</w:t>
      </w:r>
    </w:p>
    <w:p>
      <w:pPr>
        <w:spacing w:after="140"/>
      </w:pPr>
      <w:r>
        <w:t xml:space="preserve"/>
      </w:r>
    </w:p>
    <w:p>
      <w:pPr>
        <w:spacing w:after="140"/>
      </w:pPr>
      <w:r>
        <w:t xml:space="preserve">Learning outcome: Keep relationships precise when names are ambiguous.</w:t>
      </w:r>
    </w:p>
    <w:p>
      <w:pPr>
        <w:spacing w:after="140"/>
      </w:pPr>
      <w:r>
        <w:t xml:space="preserve"/>
      </w:r>
    </w:p>
    <w:p>
      <w:pPr>
        <w:spacing w:after="140"/>
      </w:pPr>
      <w:r>
        <w:t xml:space="preserve">A knowledge graph represents entities and relationships. It can support queries that depend on connections, such as which document belongs to which product. The usefulness of the graph depends on correct identities and relationships; a visually impressive network can still encode false links.</w:t>
      </w:r>
    </w:p>
    <w:p>
      <w:pPr>
        <w:spacing w:after="140"/>
      </w:pPr>
      <w:r>
        <w:t xml:space="preserve"/>
      </w:r>
    </w:p>
    <w:p>
      <w:pPr>
        <w:spacing w:after="140"/>
      </w:pPr>
      <w:r>
        <w:t xml:space="preserve">Entity resolution decides whether different references describe the same entity. Names alone are often insufficient. Use stable identifiers and record evidence for merges. Preserve uncertainty when two records may refer to different people or organisations. Graph-based retrieval can complement text retrieval, but the graph does not make unsupported claims true.</w:t>
      </w:r>
    </w:p>
    <w:p>
      <w:pPr>
        <w:spacing w:after="140"/>
      </w:pPr>
      <w:r>
        <w:t xml:space="preserve"/>
      </w:r>
    </w:p>
    <w:p>
      <w:pPr>
        <w:spacing w:after="140"/>
      </w:pPr>
      <w:r>
        <w:t xml:space="preserve">Worked example</w:t>
      </w:r>
    </w:p>
    <w:p>
      <w:pPr>
        <w:spacing w:after="140"/>
      </w:pPr>
      <w:r>
        <w:t xml:space="preserve"/>
      </w:r>
    </w:p>
    <w:p>
      <w:pPr>
        <w:spacing w:after="140"/>
      </w:pPr>
      <w:r>
        <w:t xml:space="preserve">A fictional catalogue contains “Cedar Ltd” as a supplier and “Cedar Training” as a customer. An automated merge treats them as one organisation and attaches the customer's contact to a supplier order. Keeping distinct organisation IDs prevents the name similarity from creating a false relationship.</w:t>
      </w:r>
    </w:p>
    <w:p>
      <w:pPr>
        <w:spacing w:after="140"/>
      </w:pPr>
      <w:r>
        <w:t xml:space="preserve"/>
      </w:r>
    </w:p>
    <w:p>
      <w:pPr>
        <w:spacing w:after="140"/>
      </w:pPr>
      <w:r>
        <w:t xml:space="preserve">Try it yourself</w:t>
      </w:r>
    </w:p>
    <w:p>
      <w:pPr>
        <w:spacing w:after="140"/>
      </w:pPr>
      <w:r>
        <w:t xml:space="preserve"/>
      </w:r>
    </w:p>
    <w:p>
      <w:pPr>
        <w:spacing w:after="140"/>
      </w:pPr>
      <w:r>
        <w:t xml:space="preserve">Draw a graph with two similarly named organisations, two documents and one product. Label each relationship and the evidence needed before merging any nodes.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Use distinct identifiers and explicit relationships such as supplied-by or described-in. A shared word in a name is a candidate match, not sufficient merge evidence. Keep a review step for uncertain identity links.</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When should two similarly named records be merged?</w:t>
      </w:r>
    </w:p>
    <w:p>
      <w:pPr>
        <w:spacing w:after="140"/>
      </w:pPr>
      <w:r>
        <w:t xml:space="preserve"/>
      </w:r>
    </w:p>
    <w:p>
      <w:pPr>
        <w:spacing w:after="140"/>
      </w:pPr>
      <w:r>
        <w:t xml:space="preserve">1. Whenever their names share a word</w:t>
      </w:r>
    </w:p>
    <w:p>
      <w:pPr>
        <w:spacing w:after="140"/>
      </w:pPr>
      <w:r>
        <w:t xml:space="preserve">2. Whenever merging makes the graph simpler</w:t>
      </w:r>
    </w:p>
    <w:p>
      <w:pPr>
        <w:spacing w:after="140"/>
      </w:pPr>
      <w:r>
        <w:t xml:space="preserve">3. When sufficient identity evidence supports the merge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When sufficient identity evidence supports the merge. Entity resolution requires identity evidence. Name overlap is only a possible match; an unsupported merge creates false relationships downstream.</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(/downloads/course-packs/specialist-ai-patterns.docx)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model evaluation (https://scikit-learn.org/stable/modules/model_evaluation.html)</w:t>
      </w:r>
    </w:p>
    <w:p>
      <w:pPr>
        <w:spacing w:after="140"/>
      </w:pPr>
      <w:r>
        <w:t xml:space="preserve">- NIST: AI Risk Management Framework (https://www.nist.gov/itl/ai-risk-management-framework)</w:t>
      </w:r>
    </w:p>
    <w:p>
      <w:pPr>
        <w:spacing w:after="140"/>
      </w:pPr>
      <w:r>
        <w:t xml:space="preserve">- scikit-learn: time series splits (https://sklearn.org/stable/modules/generated/sklearn.model_selection.TimeSeriesSplit.html)</w:t>
      </w:r>
    </w:p>
    <w:p>
      <w:pPr>
        <w:spacing w:after="140"/>
      </w:pPr>
      <w:r>
        <w:t xml:space="preserve">- scikit-learn: novelty and outlier detection (https://scikit-learn.org/stable/modules/outlier_detection.html)</w:t>
      </w:r>
    </w:p>
    <w:p>
      <w:pPr>
        <w:spacing w:after="140"/>
      </w:pPr>
      <w:r>
        <w:t xml:space="preserve">- modAL: uncertainty sampling (https://modal-python.readthedocs.io/en/latest/content/query_strategies/uncertainty_sampling.html)</w:t>
      </w:r>
    </w:p>
    <w:p>
      <w:pPr>
        <w:spacing w:after="140"/>
      </w:pPr>
      <w:r>
        <w:t xml:space="preserve">- Neo4j: entity resolution (https://graphacademy.neo4j.com/courses/genai-graphrag-python/4-customisation/4-resolving-entities)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Active learning and selective labelling</w:t>
      </w:r>
    </w:p>
    <w:p>
      <w:pPr>
        <w:spacing w:after="140"/>
      </w:pPr>
      <w:r>
        <w:t xml:space="preserve"/>
      </w:r>
    </w:p>
    <w:p>
      <w:pPr>
        <w:spacing w:after="140"/>
      </w:pPr>
      <w:r>
        <w:t xml:space="preserve">Learning outcome: Choose which examples need human labels most carefully.</w:t>
      </w:r>
    </w:p>
    <w:p>
      <w:pPr>
        <w:spacing w:after="140"/>
      </w:pPr>
      <w:r>
        <w:t xml:space="preserve"/>
      </w:r>
    </w:p>
    <w:p>
      <w:pPr>
        <w:spacing w:after="140"/>
      </w:pPr>
      <w:r>
        <w:t xml:space="preserve">Active learning selects examples for labelling to make better use of limited annotation effort. One approach asks for labels on uncertain cases, but uncertainty alone may repeatedly select near-duplicates or unusual examples that are not useful for the target task.</w:t>
      </w:r>
    </w:p>
    <w:p>
      <w:pPr>
        <w:spacing w:after="140"/>
      </w:pPr>
      <w:r>
        <w:t xml:space="preserve"/>
      </w:r>
    </w:p>
    <w:p>
      <w:pPr>
        <w:spacing w:after="140"/>
      </w:pPr>
      <w:r>
        <w:t xml:space="preserve">Combine a selection strategy with checks for coverage and label quality. Keep an independent evaluation set so the labelling process does not consume the test. Write clear annotation guidance and allow ambiguous cases to be discussed. Track which examples were selected and why. The number of labels collected is less informative than whether they improve performance on the intended distribution.</w:t>
      </w:r>
    </w:p>
    <w:p>
      <w:pPr>
        <w:spacing w:after="140"/>
      </w:pPr>
      <w:r>
        <w:t xml:space="preserve"/>
      </w:r>
    </w:p>
    <w:p>
      <w:pPr>
        <w:spacing w:after="140"/>
      </w:pPr>
      <w:r>
        <w:t xml:space="preserve">Worked example</w:t>
      </w:r>
    </w:p>
    <w:p>
      <w:pPr>
        <w:spacing w:after="140"/>
      </w:pPr>
      <w:r>
        <w:t xml:space="preserve"/>
      </w:r>
    </w:p>
    <w:p>
      <w:pPr>
        <w:spacing w:after="140"/>
      </w:pPr>
      <w:r>
        <w:t xml:space="preserve">A fictional classifier asks reviewers to label twenty almost identical messages containing an unfamiliar product code. Meanwhile, an entire category of short requests remains unrepresented. A revised selection process limits duplicates and includes coverage checks, so reviewer time is spent on a more varied set.</w:t>
      </w:r>
    </w:p>
    <w:p>
      <w:pPr>
        <w:spacing w:after="140"/>
      </w:pPr>
      <w:r>
        <w:t xml:space="preserve"/>
      </w:r>
    </w:p>
    <w:p>
      <w:pPr>
        <w:spacing w:after="140"/>
      </w:pPr>
      <w:r>
        <w:t xml:space="preserve">Try it yourself</w:t>
      </w:r>
    </w:p>
    <w:p>
      <w:pPr>
        <w:spacing w:after="140"/>
      </w:pPr>
      <w:r>
        <w:t xml:space="preserve"/>
      </w:r>
    </w:p>
    <w:p>
      <w:pPr>
        <w:spacing w:after="140"/>
      </w:pPr>
      <w:r>
        <w:t xml:space="preserve">You can label ten of thirty fictional messages. Propose a selection rule using uncertainty, diversity and coverage. Reserve an evaluation sample outside that process.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rule should prevent all ten choices coming from one duplicate cluster. Explain how ambiguous labels will be resolved and how later performance will be checked on independent cases. Selection efficiency is a hypothesis to test.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Why might uncertainty-only sampling waste annotation effort?</w:t>
      </w:r>
    </w:p>
    <w:p>
      <w:pPr>
        <w:spacing w:after="140"/>
      </w:pPr>
      <w:r>
        <w:t xml:space="preserve"/>
      </w:r>
    </w:p>
    <w:p>
      <w:pPr>
        <w:spacing w:after="140"/>
      </w:pPr>
      <w:r>
        <w:t xml:space="preserve">1. It can repeatedly select very similar cases</w:t>
      </w:r>
    </w:p>
    <w:p>
      <w:pPr>
        <w:spacing w:after="140"/>
      </w:pPr>
      <w:r>
        <w:t xml:space="preserve">2. Uncertain cases never teach anything</w:t>
      </w:r>
    </w:p>
    <w:p>
      <w:pPr>
        <w:spacing w:after="140"/>
      </w:pPr>
      <w:r>
        <w:t xml:space="preserve">3. Human labels are unnecessary for active learning</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It can repeatedly select very similar cases. Uncertainty can cluster around many near-duplicate examples. Diversity and coverage checks can make the annotation budget more informative for the intended task.</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(/downloads/course-packs/specialist-ai-patterns.docx)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model evaluation (https://scikit-learn.org/stable/modules/model_evaluation.html)</w:t>
      </w:r>
    </w:p>
    <w:p>
      <w:pPr>
        <w:spacing w:after="140"/>
      </w:pPr>
      <w:r>
        <w:t xml:space="preserve">- NIST: AI Risk Management Framework (https://www.nist.gov/itl/ai-risk-management-framework)</w:t>
      </w:r>
    </w:p>
    <w:p>
      <w:pPr>
        <w:spacing w:after="140"/>
      </w:pPr>
      <w:r>
        <w:t xml:space="preserve">- scikit-learn: time series splits (https://sklearn.org/stable/modules/generated/sklearn.model_selection.TimeSeriesSplit.html)</w:t>
      </w:r>
    </w:p>
    <w:p>
      <w:pPr>
        <w:spacing w:after="140"/>
      </w:pPr>
      <w:r>
        <w:t xml:space="preserve">- scikit-learn: novelty and outlier detection (https://scikit-learn.org/stable/modules/outlier_detection.html)</w:t>
      </w:r>
    </w:p>
    <w:p>
      <w:pPr>
        <w:spacing w:after="140"/>
      </w:pPr>
      <w:r>
        <w:t xml:space="preserve">- modAL: uncertainty sampling (https://modal-python.readthedocs.io/en/latest/content/query_strategies/uncertainty_sampling.html)</w:t>
      </w:r>
    </w:p>
    <w:p>
      <w:pPr>
        <w:spacing w:after="140"/>
      </w:pPr>
      <w:r>
        <w:t xml:space="preserve">- Neo4j: entity resolution (https://graphacademy.neo4j.com/courses/genai-graphrag-python/4-customisation/4-resolving-entities)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Scientific claims, benchmarks and transfer</w:t>
      </w:r>
    </w:p>
    <w:p>
      <w:pPr>
        <w:spacing w:after="140"/>
      </w:pPr>
      <w:r>
        <w:t xml:space="preserve"/>
      </w:r>
    </w:p>
    <w:p>
      <w:pPr>
        <w:spacing w:after="140"/>
      </w:pPr>
      <w:r>
        <w:t xml:space="preserve">Learning outcome: Separate a promising result from evidence for your own use case.</w:t>
      </w:r>
    </w:p>
    <w:p>
      <w:pPr>
        <w:spacing w:after="140"/>
      </w:pPr>
      <w:r>
        <w:t xml:space="preserve"/>
      </w:r>
    </w:p>
    <w:p>
      <w:pPr>
        <w:spacing w:after="140"/>
      </w:pPr>
      <w:r>
        <w:t xml:space="preserve">A benchmark result applies to a defined dataset, task and evaluation method. It does not automatically transfer to a different population, language or workflow. Read what was compared, how reference answers were established and whether the test resembles the intended use.</w:t>
      </w:r>
    </w:p>
    <w:p>
      <w:pPr>
        <w:spacing w:after="140"/>
      </w:pPr>
      <w:r>
        <w:t xml:space="preserve"/>
      </w:r>
    </w:p>
    <w:p>
      <w:pPr>
        <w:spacing w:after="140"/>
      </w:pPr>
      <w:r>
        <w:t xml:space="preserve">Look for baselines, sample size, uncertainty and known exclusions. Distinguish a proof of concept from a deployed outcome. A model can outperform another on one metric while creating new operational problems. Build a small, independent local evaluation before making a stronger claim, and be clear when your evidence is too limited to support one.</w:t>
      </w:r>
    </w:p>
    <w:p>
      <w:pPr>
        <w:spacing w:after="140"/>
      </w:pPr>
      <w:r>
        <w:t xml:space="preserve"/>
      </w:r>
    </w:p>
    <w:p>
      <w:pPr>
        <w:spacing w:after="140"/>
      </w:pPr>
      <w:r>
        <w:t xml:space="preserve">Worked example</w:t>
      </w:r>
    </w:p>
    <w:p>
      <w:pPr>
        <w:spacing w:after="140"/>
      </w:pPr>
      <w:r>
        <w:t xml:space="preserve"/>
      </w:r>
    </w:p>
    <w:p>
      <w:pPr>
        <w:spacing w:after="140"/>
      </w:pPr>
      <w:r>
        <w:t xml:space="preserve">A fictional paper reports strong document extraction on clean typed pages. A team wants to use the system on skewed handwritten forms with stamps. The paper is relevant background, but does not establish performance on those forms. A local test should include the actual document characteristics and an independently checked reference transcription.</w:t>
      </w:r>
    </w:p>
    <w:p>
      <w:pPr>
        <w:spacing w:after="140"/>
      </w:pPr>
      <w:r>
        <w:t xml:space="preserve"/>
      </w:r>
    </w:p>
    <w:p>
      <w:pPr>
        <w:spacing w:after="140"/>
      </w:pPr>
      <w:r>
        <w:t xml:space="preserve">Try it yourself</w:t>
      </w:r>
    </w:p>
    <w:p>
      <w:pPr>
        <w:spacing w:after="140"/>
      </w:pPr>
      <w:r>
        <w:t xml:space="preserve"/>
      </w:r>
    </w:p>
    <w:p>
      <w:pPr>
        <w:spacing w:after="140"/>
      </w:pPr>
      <w:r>
        <w:t xml:space="preserve">Write a transfer checklist for that proposed use. Include task match, input differences, baseline, reference standard and a condition that would stop deployment.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checklist should make handwriting and image quality explicit. A stop condition could be unacceptable errors in critical fields. Do not describe the published benchmark score as the expected local accuracy without supporting evidence.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is the strongest next step before adopting the extractor for handwritten forms?</w:t>
      </w:r>
    </w:p>
    <w:p>
      <w:pPr>
        <w:spacing w:after="140"/>
      </w:pPr>
      <w:r>
        <w:t xml:space="preserve"/>
      </w:r>
    </w:p>
    <w:p>
      <w:pPr>
        <w:spacing w:after="140"/>
      </w:pPr>
      <w:r>
        <w:t xml:space="preserve">1. Assume a larger model removes the input difference</w:t>
      </w:r>
    </w:p>
    <w:p>
      <w:pPr>
        <w:spacing w:after="140"/>
      </w:pPr>
      <w:r>
        <w:t xml:space="preserve">2. Evaluate representative forms against independently checked references</w:t>
      </w:r>
    </w:p>
    <w:p>
      <w:pPr>
        <w:spacing w:after="140"/>
      </w:pPr>
      <w:r>
        <w:t xml:space="preserve">3. Reuse the published score as the local accuracy</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Evaluate representative forms against independently checked references. The new inputs differ from the benchmark. A representative local evaluation with independently checked references is needed before claiming the published performance transfers.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(/downloads/course-packs/specialist-ai-patterns.docx)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model evaluation (https://scikit-learn.org/stable/modules/model_evaluation.html)</w:t>
      </w:r>
    </w:p>
    <w:p>
      <w:pPr>
        <w:spacing w:after="140"/>
      </w:pPr>
      <w:r>
        <w:t xml:space="preserve">- NIST: AI Risk Management Framework (https://www.nist.gov/itl/ai-risk-management-framework)</w:t>
      </w:r>
    </w:p>
    <w:p>
      <w:pPr>
        <w:spacing w:after="140"/>
      </w:pPr>
      <w:r>
        <w:t xml:space="preserve">- scikit-learn: time series splits (https://sklearn.org/stable/modules/generated/sklearn.model_selection.TimeSeriesSplit.html)</w:t>
      </w:r>
    </w:p>
    <w:p>
      <w:pPr>
        <w:spacing w:after="140"/>
      </w:pPr>
      <w:r>
        <w:t xml:space="preserve">- scikit-learn: novelty and outlier detection (https://scikit-learn.org/stable/modules/outlier_detection.html)</w:t>
      </w:r>
    </w:p>
    <w:p>
      <w:pPr>
        <w:spacing w:after="140"/>
      </w:pPr>
      <w:r>
        <w:t xml:space="preserve">- modAL: uncertainty sampling (https://modal-python.readthedocs.io/en/latest/content/query_strategies/uncertainty_sampling.html)</w:t>
      </w:r>
    </w:p>
    <w:p>
      <w:pPr>
        <w:spacing w:after="140"/>
      </w:pPr>
      <w:r>
        <w:t xml:space="preserve">- Neo4j: entity resolution (https://graphacademy.neo4j.com/courses/genai-graphrag-python/4-customisation/4-resolving-entities)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Which information can a next-day forecast legitimately use?</w:t>
      </w:r>
    </w:p>
    <w:p>
      <w:pPr>
        <w:spacing w:after="140"/>
      </w:pPr>
      <w:r>
        <w:t xml:space="preserve">1. Information available at the stated forecast cut-off</w:t>
      </w:r>
    </w:p>
    <w:p>
      <w:pPr>
        <w:spacing w:after="140"/>
      </w:pPr>
      <w:r>
        <w:t xml:space="preserve">2. Tomorrow’s realised demand</w:t>
      </w:r>
    </w:p>
    <w:p>
      <w:pPr>
        <w:spacing w:after="140"/>
      </w:pPr>
      <w:r>
        <w:t xml:space="preserve">3. A field populated after tomorrow’s service ends</w:t>
      </w:r>
    </w:p>
    <w:p>
      <w:pPr>
        <w:spacing w:after="140"/>
      </w:pPr>
      <w:r>
        <w:t xml:space="preserve">2. What does an anomaly score establish?</w:t>
      </w:r>
    </w:p>
    <w:p>
      <w:pPr>
        <w:spacing w:after="140"/>
      </w:pPr>
      <w:r>
        <w:t xml:space="preserve">1. That the largest value is always the most important case</w:t>
      </w:r>
    </w:p>
    <w:p>
      <w:pPr>
        <w:spacing w:after="140"/>
      </w:pPr>
      <w:r>
        <w:t xml:space="preserve">2. Difference from a reference pattern, not a confirmed cause</w:t>
      </w:r>
    </w:p>
    <w:p>
      <w:pPr>
        <w:spacing w:after="140"/>
      </w:pPr>
      <w:r>
        <w:t xml:space="preserve">3. That fraud or failure has occurred</w:t>
      </w:r>
    </w:p>
    <w:p>
      <w:pPr>
        <w:spacing w:after="140"/>
      </w:pPr>
      <w:r>
        <w:t xml:space="preserve">3. When should two similarly named records be merged?</w:t>
      </w:r>
    </w:p>
    <w:p>
      <w:pPr>
        <w:spacing w:after="140"/>
      </w:pPr>
      <w:r>
        <w:t xml:space="preserve">1. Whenever their names share a word</w:t>
      </w:r>
    </w:p>
    <w:p>
      <w:pPr>
        <w:spacing w:after="140"/>
      </w:pPr>
      <w:r>
        <w:t xml:space="preserve">2. Whenever merging makes the graph simpler</w:t>
      </w:r>
    </w:p>
    <w:p>
      <w:pPr>
        <w:spacing w:after="140"/>
      </w:pPr>
      <w:r>
        <w:t xml:space="preserve">3. When sufficient identity evidence supports the merge</w:t>
      </w:r>
    </w:p>
    <w:p>
      <w:pPr>
        <w:spacing w:after="140"/>
      </w:pPr>
      <w:r>
        <w:t xml:space="preserve">4. Why might uncertainty-only sampling waste annotation effort?</w:t>
      </w:r>
    </w:p>
    <w:p>
      <w:pPr>
        <w:spacing w:after="140"/>
      </w:pPr>
      <w:r>
        <w:t xml:space="preserve">1. It can repeatedly select very similar cases</w:t>
      </w:r>
    </w:p>
    <w:p>
      <w:pPr>
        <w:spacing w:after="140"/>
      </w:pPr>
      <w:r>
        <w:t xml:space="preserve">2. Uncertain cases never teach anything</w:t>
      </w:r>
    </w:p>
    <w:p>
      <w:pPr>
        <w:spacing w:after="140"/>
      </w:pPr>
      <w:r>
        <w:t xml:space="preserve">3. Human labels are unnecessary for active learning</w:t>
      </w:r>
    </w:p>
    <w:p>
      <w:pPr>
        <w:spacing w:after="140"/>
      </w:pPr>
      <w:r>
        <w:t xml:space="preserve">5. What is the strongest next step before adopting the extractor for handwritten forms?</w:t>
      </w:r>
    </w:p>
    <w:p>
      <w:pPr>
        <w:spacing w:after="140"/>
      </w:pPr>
      <w:r>
        <w:t xml:space="preserve">1. Assume a larger model removes the input difference</w:t>
      </w:r>
    </w:p>
    <w:p>
      <w:pPr>
        <w:spacing w:after="140"/>
      </w:pPr>
      <w:r>
        <w:t xml:space="preserve">2. Evaluate representative forms against independently checked references</w:t>
      </w:r>
    </w:p>
    <w:p>
      <w:pPr>
        <w:spacing w:after="140"/>
      </w:pPr>
      <w:r>
        <w:t xml:space="preserve">3. Reuse the published score as the local accuracy</w:t>
      </w:r>
    </w:p>
    <w:p>
      <w:pPr>
        <w:spacing w:after="140"/>
      </w:pPr>
      <w:r>
        <w:t xml:space="preserve">ANSWER KEY</w:t>
      </w:r>
    </w:p>
    <w:p>
      <w:pPr>
        <w:spacing w:after="140"/>
      </w:pPr>
      <w:r>
        <w:t xml:space="preserve">1. Information available at the stated forecast cut-off</w:t>
      </w:r>
    </w:p>
    <w:p>
      <w:pPr>
        <w:spacing w:after="140"/>
      </w:pPr>
      <w:r>
        <w:t xml:space="preserve">The forecast must use information that exists at its cut-off. Realised demand and fields populated after service begins leak future information into the evaluation.</w:t>
      </w:r>
    </w:p>
    <w:p>
      <w:pPr>
        <w:spacing w:after="140"/>
      </w:pPr>
      <w:r>
        <w:t xml:space="preserve">2. Difference from a reference pattern, not a confirmed cause</w:t>
      </w:r>
    </w:p>
    <w:p>
      <w:pPr>
        <w:spacing w:after="140"/>
      </w:pPr>
      <w:r>
        <w:t xml:space="preserve">An anomaly is a departure from a reference pattern. Context and investigation are needed to determine whether it represents a problem and what caused it.</w:t>
      </w:r>
    </w:p>
    <w:p>
      <w:pPr>
        <w:spacing w:after="140"/>
      </w:pPr>
      <w:r>
        <w:t xml:space="preserve">3. When sufficient identity evidence supports the merge</w:t>
      </w:r>
    </w:p>
    <w:p>
      <w:pPr>
        <w:spacing w:after="140"/>
      </w:pPr>
      <w:r>
        <w:t xml:space="preserve">Entity resolution requires identity evidence. Name overlap is only a possible match; an unsupported merge creates false relationships downstream.</w:t>
      </w:r>
    </w:p>
    <w:p>
      <w:pPr>
        <w:spacing w:after="140"/>
      </w:pPr>
      <w:r>
        <w:t xml:space="preserve">4. It can repeatedly select very similar cases</w:t>
      </w:r>
    </w:p>
    <w:p>
      <w:pPr>
        <w:spacing w:after="140"/>
      </w:pPr>
      <w:r>
        <w:t xml:space="preserve">Uncertainty can cluster around many near-duplicate examples. Diversity and coverage checks can make the annotation budget more informative for the intended task.</w:t>
      </w:r>
    </w:p>
    <w:p>
      <w:pPr>
        <w:spacing w:after="140"/>
      </w:pPr>
      <w:r>
        <w:t xml:space="preserve">5. Evaluate representative forms against independently checked references</w:t>
      </w:r>
    </w:p>
    <w:p>
      <w:pPr>
        <w:spacing w:after="140"/>
      </w:pPr>
      <w:r>
        <w:t xml:space="preserve">The new inputs differ from the benchmark. A representative local evaluation with independently checked references is needed before claiming the published performance transfers.</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Choose a suitable modelling approach and explain the evidence needed before using it.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Time-series forecasting and temporal leakage: Design a four-week evaluation timeline for a next-day forecast. Mark the information cut-off, forecast horizon and a baseline. Include a day with a special event.</w:t>
      </w:r>
    </w:p>
    <w:p>
      <w:pPr>
        <w:spacing w:after="140"/>
      </w:pPr>
      <w:r>
        <w:t xml:space="preserve">2. Anomaly detection and the alert burden: Create an alert-review form with expected event, observed value, comparison baseline, reviewer finding and next action. Fill it for both examples.</w:t>
      </w:r>
    </w:p>
    <w:p>
      <w:pPr>
        <w:spacing w:after="140"/>
      </w:pPr>
      <w:r>
        <w:t xml:space="preserve">3. Knowledge graphs and entity resolution: Draw a graph with two similarly named organisations, two documents and one product. Label each relationship and the evidence needed before merging any nodes.</w:t>
      </w:r>
    </w:p>
    <w:p>
      <w:pPr>
        <w:spacing w:after="140"/>
      </w:pPr>
      <w:r>
        <w:t xml:space="preserve">4. Active learning and selective labelling: You can label ten of thirty fictional messages. Propose a selection rule using uncertainty, diversity and coverage. Reserve an evaluation sample outside that process.</w:t>
      </w:r>
    </w:p>
    <w:p>
      <w:pPr>
        <w:spacing w:after="140"/>
      </w:pPr>
      <w:r>
        <w:t xml:space="preserve">5. Scientific claims, benchmarks and transfer: Write a transfer checklist for that proposed use. Include task match, input differences, baseline, reference standard and a condition that would stop deployment.</w:t>
      </w:r>
    </w:p>
    <w:p>
      <w:pPr>
        <w:spacing w:after="140"/>
      </w:pPr>
      <w:r>
        <w:t xml:space="preserve"/>
      </w:r>
    </w:p>
    <w:p>
      <w:pPr>
        <w:spacing w:after="140"/>
      </w:pPr>
      <w:r>
        <w:t xml:space="preserve">Combine the five outputs in the downloadable course workbook (/downloads/course-packs/specialist-ai-patterns.docx).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Evaluate forecasts using only information available at the forecast date.</w:t>
      </w:r>
    </w:p>
    <w:p>
      <w:pPr>
        <w:spacing w:after="140"/>
      </w:pPr>
      <w:r>
        <w:t xml:space="preserve">- Distinguish unusual behaviour from a confirmed problem.</w:t>
      </w:r>
    </w:p>
    <w:p>
      <w:pPr>
        <w:spacing w:after="140"/>
      </w:pPr>
      <w:r>
        <w:t xml:space="preserve">- Keep relationships precise when names are ambiguous.</w:t>
      </w:r>
    </w:p>
    <w:p>
      <w:pPr>
        <w:spacing w:after="140"/>
      </w:pPr>
      <w:r>
        <w:t xml:space="preserve">- Choose which examples need human labels most carefully.</w:t>
      </w:r>
    </w:p>
    <w:p>
      <w:pPr>
        <w:spacing w:after="140"/>
      </w:pPr>
      <w:r>
        <w:t xml:space="preserve">- Separate a promising result from evidence for your own use case.</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(/lab/pilot-review/)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